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372F8" w14:textId="6D0248BC" w:rsidR="0032233E" w:rsidRDefault="0032233E" w:rsidP="0032233E">
      <w:pPr>
        <w:spacing w:line="360" w:lineRule="auto"/>
        <w:rPr>
          <w:rFonts w:ascii="Times New Roman" w:hAnsi="Times New Roman" w:cs="Times New Roman"/>
          <w:sz w:val="24"/>
          <w:szCs w:val="24"/>
          <w:lang w:val="es-MX"/>
        </w:rPr>
      </w:pPr>
      <w:bookmarkStart w:id="0" w:name="_GoBack"/>
      <w:bookmarkEnd w:id="0"/>
      <w:r>
        <w:rPr>
          <w:rFonts w:ascii="Times New Roman" w:hAnsi="Times New Roman" w:cs="Times New Roman"/>
          <w:sz w:val="24"/>
          <w:szCs w:val="24"/>
          <w:lang w:val="es-MX"/>
        </w:rPr>
        <w:t xml:space="preserve">Entendiendo una biblioteca científica. </w:t>
      </w:r>
      <w:r w:rsidR="00DC1B86">
        <w:rPr>
          <w:rFonts w:ascii="Times New Roman" w:hAnsi="Times New Roman" w:cs="Times New Roman"/>
          <w:sz w:val="24"/>
          <w:szCs w:val="24"/>
          <w:lang w:val="es-MX"/>
        </w:rPr>
        <w:t>Activación de l</w:t>
      </w:r>
      <w:r>
        <w:rPr>
          <w:rFonts w:ascii="Times New Roman" w:hAnsi="Times New Roman" w:cs="Times New Roman"/>
          <w:sz w:val="24"/>
          <w:szCs w:val="24"/>
          <w:lang w:val="es-MX"/>
        </w:rPr>
        <w:t xml:space="preserve">a Biblioteca Patrimonial del Museo de Química y Farmacia César Leyton de la Universidad de Chile. </w:t>
      </w:r>
    </w:p>
    <w:p w14:paraId="324828D9" w14:textId="57EB116B" w:rsidR="0032233E" w:rsidRDefault="0032233E" w:rsidP="0032233E">
      <w:pPr>
        <w:spacing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Richard Solís </w:t>
      </w:r>
    </w:p>
    <w:p w14:paraId="6F09BEB2" w14:textId="0ED817F2" w:rsidR="0032233E" w:rsidRDefault="0032233E" w:rsidP="0032233E">
      <w:pPr>
        <w:spacing w:line="360" w:lineRule="auto"/>
        <w:rPr>
          <w:rFonts w:ascii="Times New Roman" w:hAnsi="Times New Roman" w:cs="Times New Roman"/>
          <w:sz w:val="24"/>
          <w:szCs w:val="24"/>
        </w:rPr>
      </w:pPr>
      <w:r>
        <w:rPr>
          <w:rFonts w:ascii="Times New Roman" w:hAnsi="Times New Roman" w:cs="Times New Roman"/>
          <w:sz w:val="24"/>
          <w:szCs w:val="24"/>
        </w:rPr>
        <w:t xml:space="preserve">Resumen: </w:t>
      </w:r>
    </w:p>
    <w:p w14:paraId="6A2E1279" w14:textId="10C2DCC6" w:rsidR="0032233E" w:rsidRPr="00DC1B86" w:rsidRDefault="0032233E" w:rsidP="0032233E">
      <w:pPr>
        <w:spacing w:line="360" w:lineRule="auto"/>
        <w:rPr>
          <w:rFonts w:ascii="Times New Roman" w:hAnsi="Times New Roman" w:cs="Times New Roman"/>
          <w:sz w:val="24"/>
          <w:szCs w:val="24"/>
        </w:rPr>
      </w:pPr>
      <w:r>
        <w:rPr>
          <w:rFonts w:ascii="Times New Roman" w:hAnsi="Times New Roman" w:cs="Times New Roman"/>
          <w:sz w:val="24"/>
          <w:szCs w:val="24"/>
        </w:rPr>
        <w:t>Desd</w:t>
      </w:r>
      <w:r w:rsidR="00DC1B86">
        <w:rPr>
          <w:rFonts w:ascii="Times New Roman" w:hAnsi="Times New Roman" w:cs="Times New Roman"/>
          <w:sz w:val="24"/>
          <w:szCs w:val="24"/>
        </w:rPr>
        <w:t>e</w:t>
      </w:r>
      <w:r>
        <w:rPr>
          <w:rFonts w:ascii="Times New Roman" w:hAnsi="Times New Roman" w:cs="Times New Roman"/>
          <w:sz w:val="24"/>
          <w:szCs w:val="24"/>
        </w:rPr>
        <w:t xml:space="preserve"> 2017, la profesora </w:t>
      </w:r>
      <w:r w:rsidRPr="0032233E">
        <w:rPr>
          <w:rFonts w:ascii="Times New Roman" w:hAnsi="Times New Roman" w:cs="Times New Roman"/>
          <w:sz w:val="24"/>
          <w:szCs w:val="24"/>
        </w:rPr>
        <w:t xml:space="preserve">Irma Pennacchiotti, </w:t>
      </w:r>
      <w:r>
        <w:rPr>
          <w:rFonts w:ascii="Times New Roman" w:hAnsi="Times New Roman" w:cs="Times New Roman"/>
          <w:sz w:val="24"/>
          <w:szCs w:val="24"/>
        </w:rPr>
        <w:t>quien fuera directora 20 años del Museo de Química y Farmacia</w:t>
      </w:r>
      <w:r w:rsidR="00DC1B86">
        <w:rPr>
          <w:rFonts w:ascii="Times New Roman" w:hAnsi="Times New Roman" w:cs="Times New Roman"/>
          <w:sz w:val="24"/>
          <w:szCs w:val="24"/>
        </w:rPr>
        <w:t xml:space="preserve"> </w:t>
      </w:r>
      <w:r>
        <w:rPr>
          <w:rFonts w:ascii="Times New Roman" w:hAnsi="Times New Roman" w:cs="Times New Roman"/>
          <w:sz w:val="24"/>
          <w:szCs w:val="24"/>
        </w:rPr>
        <w:t>de la Universidad de Chile, pudo descansar de sus labores, con la confianza de que un nuevo equipo tomar</w:t>
      </w:r>
      <w:r w:rsidR="00DC1B86">
        <w:rPr>
          <w:rFonts w:ascii="Times New Roman" w:hAnsi="Times New Roman" w:cs="Times New Roman"/>
          <w:sz w:val="24"/>
          <w:szCs w:val="24"/>
        </w:rPr>
        <w:t>a</w:t>
      </w:r>
      <w:r>
        <w:rPr>
          <w:rFonts w:ascii="Times New Roman" w:hAnsi="Times New Roman" w:cs="Times New Roman"/>
          <w:sz w:val="24"/>
          <w:szCs w:val="24"/>
        </w:rPr>
        <w:t xml:space="preserve"> el bastión con el que defendió </w:t>
      </w:r>
      <w:r w:rsidR="00F434C1">
        <w:rPr>
          <w:rFonts w:ascii="Times New Roman" w:hAnsi="Times New Roman" w:cs="Times New Roman"/>
          <w:sz w:val="24"/>
          <w:szCs w:val="24"/>
        </w:rPr>
        <w:t>incansablemente</w:t>
      </w:r>
      <w:r>
        <w:rPr>
          <w:rFonts w:ascii="Times New Roman" w:hAnsi="Times New Roman" w:cs="Times New Roman"/>
          <w:sz w:val="24"/>
          <w:szCs w:val="24"/>
        </w:rPr>
        <w:t xml:space="preserve"> la permanencia </w:t>
      </w:r>
      <w:r w:rsidR="00DC1B86">
        <w:rPr>
          <w:rFonts w:ascii="Times New Roman" w:hAnsi="Times New Roman" w:cs="Times New Roman"/>
          <w:sz w:val="24"/>
          <w:szCs w:val="24"/>
        </w:rPr>
        <w:t>del museo</w:t>
      </w:r>
      <w:r>
        <w:rPr>
          <w:rFonts w:ascii="Times New Roman" w:hAnsi="Times New Roman" w:cs="Times New Roman"/>
          <w:sz w:val="24"/>
          <w:szCs w:val="24"/>
        </w:rPr>
        <w:t xml:space="preserve">, en cuanto a repositorio de la historia de la ciencia en Chile, entendiendo que la Universidad, en su momento, era la única que </w:t>
      </w:r>
      <w:r w:rsidR="00F434C1">
        <w:rPr>
          <w:rFonts w:ascii="Times New Roman" w:hAnsi="Times New Roman" w:cs="Times New Roman"/>
          <w:sz w:val="24"/>
          <w:szCs w:val="24"/>
        </w:rPr>
        <w:t>proveía</w:t>
      </w:r>
      <w:r>
        <w:rPr>
          <w:rFonts w:ascii="Times New Roman" w:hAnsi="Times New Roman" w:cs="Times New Roman"/>
          <w:sz w:val="24"/>
          <w:szCs w:val="24"/>
        </w:rPr>
        <w:t xml:space="preserve"> de profesionales</w:t>
      </w:r>
      <w:r w:rsidR="00F434C1">
        <w:rPr>
          <w:rFonts w:ascii="Times New Roman" w:hAnsi="Times New Roman" w:cs="Times New Roman"/>
          <w:sz w:val="24"/>
          <w:szCs w:val="24"/>
        </w:rPr>
        <w:t xml:space="preserve"> al país. A esta responsabilidad de las colecciones en su conjunto se encontraba una sala de exposición de objetos, una biblioteca, y documentación dispersa que fue reagrupada como Archivo Histórico del museo. Esta presentación pretende dar cuenta de las diversas</w:t>
      </w:r>
      <w:r w:rsidR="00DC1B86">
        <w:rPr>
          <w:rFonts w:ascii="Times New Roman" w:hAnsi="Times New Roman" w:cs="Times New Roman"/>
          <w:sz w:val="24"/>
          <w:szCs w:val="24"/>
        </w:rPr>
        <w:t xml:space="preserve"> estrategias </w:t>
      </w:r>
      <w:r w:rsidR="00F434C1">
        <w:rPr>
          <w:rFonts w:ascii="Times New Roman" w:hAnsi="Times New Roman" w:cs="Times New Roman"/>
          <w:sz w:val="24"/>
          <w:szCs w:val="24"/>
        </w:rPr>
        <w:t>de conservación, preservación, restauración, digitalización, inventario, registro y activación patrimonial que se han realizado con</w:t>
      </w:r>
      <w:r w:rsidR="00DC1B86">
        <w:rPr>
          <w:rFonts w:ascii="Times New Roman" w:hAnsi="Times New Roman" w:cs="Times New Roman"/>
          <w:sz w:val="24"/>
          <w:szCs w:val="24"/>
        </w:rPr>
        <w:t xml:space="preserve"> esta biblioteca</w:t>
      </w:r>
      <w:r w:rsidR="00F434C1">
        <w:rPr>
          <w:rFonts w:ascii="Times New Roman" w:hAnsi="Times New Roman" w:cs="Times New Roman"/>
          <w:sz w:val="24"/>
          <w:szCs w:val="24"/>
        </w:rPr>
        <w:t>,</w:t>
      </w:r>
      <w:r w:rsidR="00DC1B86">
        <w:rPr>
          <w:rFonts w:ascii="Times New Roman" w:hAnsi="Times New Roman" w:cs="Times New Roman"/>
          <w:sz w:val="24"/>
          <w:szCs w:val="24"/>
        </w:rPr>
        <w:t xml:space="preserve"> </w:t>
      </w:r>
      <w:r w:rsidR="00F434C1">
        <w:rPr>
          <w:rFonts w:ascii="Times New Roman" w:hAnsi="Times New Roman" w:cs="Times New Roman"/>
          <w:sz w:val="24"/>
          <w:szCs w:val="24"/>
        </w:rPr>
        <w:t xml:space="preserve">que se ha denominado Biblioteca Patrimonial, </w:t>
      </w:r>
      <w:r w:rsidR="00DC1B86">
        <w:rPr>
          <w:rFonts w:ascii="Times New Roman" w:hAnsi="Times New Roman" w:cs="Times New Roman"/>
          <w:sz w:val="24"/>
          <w:szCs w:val="24"/>
        </w:rPr>
        <w:t>distinguiéndola así</w:t>
      </w:r>
      <w:r w:rsidR="00F434C1">
        <w:rPr>
          <w:rFonts w:ascii="Times New Roman" w:hAnsi="Times New Roman" w:cs="Times New Roman"/>
          <w:sz w:val="24"/>
          <w:szCs w:val="24"/>
        </w:rPr>
        <w:t xml:space="preserve"> de la biblioteca actual con la que cuenta la </w:t>
      </w:r>
      <w:r w:rsidR="00DC1B86">
        <w:rPr>
          <w:rFonts w:ascii="Times New Roman" w:hAnsi="Times New Roman" w:cs="Times New Roman"/>
          <w:sz w:val="24"/>
          <w:szCs w:val="24"/>
        </w:rPr>
        <w:t>F</w:t>
      </w:r>
      <w:r w:rsidR="00F434C1">
        <w:rPr>
          <w:rFonts w:ascii="Times New Roman" w:hAnsi="Times New Roman" w:cs="Times New Roman"/>
          <w:sz w:val="24"/>
          <w:szCs w:val="24"/>
        </w:rPr>
        <w:t xml:space="preserve">acultad. Es importante, además, conceptualizar las diferentes estrategias y proyecciones con las que pretendemos continuar con el trabajo de visibilización de esta colección, en relación a la actual pandemia, que nos </w:t>
      </w:r>
      <w:r w:rsidR="00DC1B86">
        <w:rPr>
          <w:rFonts w:ascii="Times New Roman" w:hAnsi="Times New Roman" w:cs="Times New Roman"/>
          <w:sz w:val="24"/>
          <w:szCs w:val="24"/>
        </w:rPr>
        <w:t>arrojó</w:t>
      </w:r>
      <w:r w:rsidR="00F434C1">
        <w:rPr>
          <w:rFonts w:ascii="Times New Roman" w:hAnsi="Times New Roman" w:cs="Times New Roman"/>
          <w:sz w:val="24"/>
          <w:szCs w:val="24"/>
        </w:rPr>
        <w:t xml:space="preserve"> al uso de l</w:t>
      </w:r>
      <w:r w:rsidR="00DC1B86">
        <w:rPr>
          <w:rFonts w:ascii="Times New Roman" w:hAnsi="Times New Roman" w:cs="Times New Roman"/>
          <w:sz w:val="24"/>
          <w:szCs w:val="24"/>
        </w:rPr>
        <w:t xml:space="preserve">as redes sociales </w:t>
      </w:r>
      <w:r w:rsidR="00F434C1">
        <w:rPr>
          <w:rFonts w:ascii="Times New Roman" w:hAnsi="Times New Roman" w:cs="Times New Roman"/>
          <w:sz w:val="24"/>
          <w:szCs w:val="24"/>
        </w:rPr>
        <w:t xml:space="preserve">como medio de </w:t>
      </w:r>
      <w:r w:rsidR="00DC1B86">
        <w:rPr>
          <w:rFonts w:ascii="Times New Roman" w:hAnsi="Times New Roman" w:cs="Times New Roman"/>
          <w:sz w:val="24"/>
          <w:szCs w:val="24"/>
        </w:rPr>
        <w:t xml:space="preserve">vinculación a </w:t>
      </w:r>
      <w:r w:rsidR="00F434C1">
        <w:rPr>
          <w:rFonts w:ascii="Times New Roman" w:hAnsi="Times New Roman" w:cs="Times New Roman"/>
          <w:sz w:val="24"/>
          <w:szCs w:val="24"/>
        </w:rPr>
        <w:t xml:space="preserve">las audiencias </w:t>
      </w:r>
      <w:r w:rsidR="00DC1B86">
        <w:rPr>
          <w:rFonts w:ascii="Times New Roman" w:hAnsi="Times New Roman" w:cs="Times New Roman"/>
          <w:sz w:val="24"/>
          <w:szCs w:val="24"/>
        </w:rPr>
        <w:t>c</w:t>
      </w:r>
      <w:r w:rsidR="00F434C1">
        <w:rPr>
          <w:rFonts w:ascii="Times New Roman" w:hAnsi="Times New Roman" w:cs="Times New Roman"/>
          <w:sz w:val="24"/>
          <w:szCs w:val="24"/>
        </w:rPr>
        <w:t>ientífi</w:t>
      </w:r>
      <w:r w:rsidR="00DC1B86">
        <w:rPr>
          <w:rFonts w:ascii="Times New Roman" w:hAnsi="Times New Roman" w:cs="Times New Roman"/>
          <w:sz w:val="24"/>
          <w:szCs w:val="24"/>
        </w:rPr>
        <w:t>cas</w:t>
      </w:r>
      <w:r w:rsidR="00F434C1">
        <w:rPr>
          <w:rFonts w:ascii="Times New Roman" w:hAnsi="Times New Roman" w:cs="Times New Roman"/>
          <w:sz w:val="24"/>
          <w:szCs w:val="24"/>
        </w:rPr>
        <w:t xml:space="preserve"> </w:t>
      </w:r>
      <w:r w:rsidR="00DC1B86">
        <w:rPr>
          <w:rFonts w:ascii="Times New Roman" w:hAnsi="Times New Roman" w:cs="Times New Roman"/>
          <w:sz w:val="24"/>
          <w:szCs w:val="24"/>
        </w:rPr>
        <w:t>y a la</w:t>
      </w:r>
      <w:r w:rsidR="00F434C1">
        <w:rPr>
          <w:rFonts w:ascii="Times New Roman" w:hAnsi="Times New Roman" w:cs="Times New Roman"/>
          <w:sz w:val="24"/>
          <w:szCs w:val="24"/>
        </w:rPr>
        <w:t xml:space="preserve"> ciudadanía en </w:t>
      </w:r>
      <w:r w:rsidR="00DC1B86">
        <w:rPr>
          <w:rFonts w:ascii="Times New Roman" w:hAnsi="Times New Roman" w:cs="Times New Roman"/>
          <w:sz w:val="24"/>
          <w:szCs w:val="24"/>
        </w:rPr>
        <w:t>general.</w:t>
      </w:r>
      <w:r w:rsidR="00F434C1">
        <w:rPr>
          <w:rFonts w:ascii="Times New Roman" w:hAnsi="Times New Roman" w:cs="Times New Roman"/>
          <w:sz w:val="24"/>
          <w:szCs w:val="24"/>
        </w:rPr>
        <w:t xml:space="preserve"> </w:t>
      </w:r>
    </w:p>
    <w:p w14:paraId="4A5EBD9A" w14:textId="2F9C99C8" w:rsidR="0032233E" w:rsidRDefault="0032233E" w:rsidP="0032233E">
      <w:pPr>
        <w:spacing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Datos del autor: </w:t>
      </w:r>
    </w:p>
    <w:p w14:paraId="1F2607FF" w14:textId="71C85036" w:rsidR="0032233E" w:rsidRDefault="0032233E" w:rsidP="0032233E">
      <w:pPr>
        <w:spacing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Richard Solís </w:t>
      </w:r>
    </w:p>
    <w:p w14:paraId="706E3507" w14:textId="061B4C5E" w:rsidR="0032233E" w:rsidRDefault="0032233E" w:rsidP="0032233E">
      <w:pPr>
        <w:spacing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Museo de Química y Farmacia profesor César Leyton, Facultad de Ciencias Químicas y </w:t>
      </w:r>
      <w:r w:rsidR="008C0DCB">
        <w:rPr>
          <w:rFonts w:ascii="Times New Roman" w:hAnsi="Times New Roman" w:cs="Times New Roman"/>
          <w:sz w:val="24"/>
          <w:szCs w:val="24"/>
          <w:lang w:val="es-MX"/>
        </w:rPr>
        <w:t>Farmacéuticas</w:t>
      </w:r>
      <w:r>
        <w:rPr>
          <w:rFonts w:ascii="Times New Roman" w:hAnsi="Times New Roman" w:cs="Times New Roman"/>
          <w:sz w:val="24"/>
          <w:szCs w:val="24"/>
          <w:lang w:val="es-MX"/>
        </w:rPr>
        <w:t xml:space="preserve"> de la Universidad de Chile</w:t>
      </w:r>
    </w:p>
    <w:p w14:paraId="0B149A2E" w14:textId="5F2AC75E" w:rsidR="0032233E" w:rsidRDefault="008C0DCB" w:rsidP="0032233E">
      <w:pPr>
        <w:spacing w:line="360" w:lineRule="auto"/>
        <w:rPr>
          <w:rFonts w:ascii="Times New Roman" w:hAnsi="Times New Roman" w:cs="Times New Roman"/>
          <w:sz w:val="24"/>
          <w:szCs w:val="24"/>
          <w:lang w:val="es-MX"/>
        </w:rPr>
      </w:pPr>
      <w:r>
        <w:rPr>
          <w:rFonts w:ascii="Times New Roman" w:hAnsi="Times New Roman" w:cs="Times New Roman"/>
          <w:sz w:val="24"/>
          <w:szCs w:val="24"/>
          <w:lang w:val="es-MX"/>
        </w:rPr>
        <w:t>rfsolis@uchile.cl</w:t>
      </w:r>
    </w:p>
    <w:p w14:paraId="14B1FDBF" w14:textId="604D743C" w:rsidR="0032233E" w:rsidRDefault="0032233E" w:rsidP="0032233E">
      <w:pPr>
        <w:spacing w:line="360" w:lineRule="auto"/>
        <w:rPr>
          <w:rFonts w:ascii="Times New Roman" w:hAnsi="Times New Roman" w:cs="Times New Roman"/>
          <w:sz w:val="24"/>
          <w:szCs w:val="24"/>
          <w:lang w:val="es-MX"/>
        </w:rPr>
      </w:pPr>
      <w:r>
        <w:rPr>
          <w:rFonts w:ascii="Times New Roman" w:hAnsi="Times New Roman" w:cs="Times New Roman"/>
          <w:sz w:val="24"/>
          <w:szCs w:val="24"/>
          <w:lang w:val="es-MX"/>
        </w:rPr>
        <w:t>+56984050238</w:t>
      </w:r>
    </w:p>
    <w:p w14:paraId="16710395" w14:textId="08A3202F" w:rsidR="008C0DCB" w:rsidRDefault="008C0DCB" w:rsidP="0032233E">
      <w:pPr>
        <w:spacing w:line="360" w:lineRule="auto"/>
        <w:rPr>
          <w:rFonts w:ascii="Times New Roman" w:hAnsi="Times New Roman" w:cs="Times New Roman"/>
          <w:sz w:val="24"/>
          <w:szCs w:val="24"/>
          <w:lang w:val="es-MX"/>
        </w:rPr>
      </w:pPr>
    </w:p>
    <w:p w14:paraId="75164F43" w14:textId="73EBB346" w:rsidR="008C0DCB" w:rsidRDefault="008C0DCB" w:rsidP="0032233E">
      <w:pPr>
        <w:spacing w:line="360" w:lineRule="auto"/>
        <w:rPr>
          <w:rFonts w:ascii="Times New Roman" w:hAnsi="Times New Roman" w:cs="Times New Roman"/>
          <w:sz w:val="24"/>
          <w:szCs w:val="24"/>
          <w:lang w:val="es-MX"/>
        </w:rPr>
      </w:pPr>
    </w:p>
    <w:p w14:paraId="4AD153AE" w14:textId="3596A0B6" w:rsidR="0032233E" w:rsidRDefault="0032233E" w:rsidP="0032233E">
      <w:pPr>
        <w:spacing w:line="360" w:lineRule="auto"/>
        <w:rPr>
          <w:rFonts w:ascii="Times New Roman" w:hAnsi="Times New Roman" w:cs="Times New Roman"/>
          <w:sz w:val="24"/>
          <w:szCs w:val="24"/>
          <w:lang w:val="es-MX"/>
        </w:rPr>
      </w:pPr>
    </w:p>
    <w:p w14:paraId="6EA04546" w14:textId="0D767110" w:rsidR="008C0DCB" w:rsidRDefault="008C0DCB" w:rsidP="0032233E">
      <w:pPr>
        <w:spacing w:line="360" w:lineRule="auto"/>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Los objetivos de esta presentación son: </w:t>
      </w:r>
    </w:p>
    <w:p w14:paraId="02F4A69E" w14:textId="77777777" w:rsidR="008C0DCB" w:rsidRPr="008C0DCB" w:rsidRDefault="008C0DCB" w:rsidP="008C0DCB">
      <w:pPr>
        <w:numPr>
          <w:ilvl w:val="0"/>
          <w:numId w:val="1"/>
        </w:numPr>
        <w:spacing w:line="360" w:lineRule="auto"/>
        <w:rPr>
          <w:rFonts w:ascii="Times New Roman" w:hAnsi="Times New Roman" w:cs="Times New Roman"/>
          <w:sz w:val="24"/>
          <w:szCs w:val="24"/>
        </w:rPr>
      </w:pPr>
      <w:r w:rsidRPr="008C0DCB">
        <w:rPr>
          <w:rFonts w:ascii="Times New Roman" w:hAnsi="Times New Roman" w:cs="Times New Roman"/>
          <w:sz w:val="24"/>
          <w:szCs w:val="24"/>
        </w:rPr>
        <w:t>Dar a conocer la comunidad de especialistas la Biblioteca Patrimonial del Museo de Química y Farmacia</w:t>
      </w:r>
    </w:p>
    <w:p w14:paraId="7EA8B3E4" w14:textId="77777777" w:rsidR="008C0DCB" w:rsidRPr="008C0DCB" w:rsidRDefault="008C0DCB" w:rsidP="008C0DCB">
      <w:pPr>
        <w:numPr>
          <w:ilvl w:val="0"/>
          <w:numId w:val="1"/>
        </w:numPr>
        <w:spacing w:line="360" w:lineRule="auto"/>
        <w:rPr>
          <w:rFonts w:ascii="Times New Roman" w:hAnsi="Times New Roman" w:cs="Times New Roman"/>
          <w:sz w:val="24"/>
          <w:szCs w:val="24"/>
        </w:rPr>
      </w:pPr>
      <w:r w:rsidRPr="008C0DCB">
        <w:rPr>
          <w:rFonts w:ascii="Times New Roman" w:hAnsi="Times New Roman" w:cs="Times New Roman"/>
          <w:sz w:val="24"/>
          <w:szCs w:val="24"/>
        </w:rPr>
        <w:t>Compartir el proceso de puesta en valor de uno de sus ejemplares representativos.</w:t>
      </w:r>
    </w:p>
    <w:p w14:paraId="58933DB8" w14:textId="7AC3C8BD" w:rsidR="008C0DCB" w:rsidRDefault="008C0DCB" w:rsidP="008C0DCB">
      <w:pPr>
        <w:numPr>
          <w:ilvl w:val="0"/>
          <w:numId w:val="1"/>
        </w:numPr>
        <w:spacing w:line="360" w:lineRule="auto"/>
        <w:rPr>
          <w:rFonts w:ascii="Times New Roman" w:hAnsi="Times New Roman" w:cs="Times New Roman"/>
          <w:sz w:val="24"/>
          <w:szCs w:val="24"/>
        </w:rPr>
      </w:pPr>
      <w:r w:rsidRPr="008C0DCB">
        <w:rPr>
          <w:rFonts w:ascii="Times New Roman" w:hAnsi="Times New Roman" w:cs="Times New Roman"/>
          <w:sz w:val="24"/>
          <w:szCs w:val="24"/>
        </w:rPr>
        <w:t xml:space="preserve">Reflexionar y cuestionar las formas de acercamiento de los ejemplares raros y valiosos a la comunidad. </w:t>
      </w:r>
    </w:p>
    <w:p w14:paraId="43F90487" w14:textId="3C953DA2" w:rsidR="008C0DCB" w:rsidRDefault="008C0DCB" w:rsidP="008C0DCB">
      <w:pPr>
        <w:spacing w:line="360" w:lineRule="auto"/>
        <w:jc w:val="both"/>
        <w:rPr>
          <w:rFonts w:ascii="Times New Roman" w:hAnsi="Times New Roman" w:cs="Times New Roman"/>
          <w:sz w:val="24"/>
          <w:szCs w:val="24"/>
        </w:rPr>
      </w:pPr>
      <w:r>
        <w:rPr>
          <w:rFonts w:ascii="Times New Roman" w:hAnsi="Times New Roman" w:cs="Times New Roman"/>
          <w:sz w:val="24"/>
          <w:szCs w:val="24"/>
        </w:rPr>
        <w:t>El Museo de Química y Farmacia nace en 1951 de la voluntad del profesor César Leyton, ex decano de la Facultad de Ciencias Químicas y Farmacéuticas de la Universidad de Chile, para resguardar la memora disciplinar de la carrera, a través de la donación de instrumental, y otros objetos representativos del estudio de la química y farmacéutica chilena. Se ubicaba inicialmente en una sala del segundo piso del antiguo edificio de la Escuela de Química y Farmacia.</w:t>
      </w:r>
    </w:p>
    <w:p w14:paraId="446A3982" w14:textId="3BE41499" w:rsidR="008C0DCB" w:rsidRDefault="008C0DCB" w:rsidP="008C0DCB">
      <w:pPr>
        <w:spacing w:line="360" w:lineRule="auto"/>
        <w:jc w:val="both"/>
        <w:rPr>
          <w:rFonts w:ascii="Times New Roman" w:hAnsi="Times New Roman" w:cs="Times New Roman"/>
          <w:sz w:val="24"/>
          <w:szCs w:val="24"/>
        </w:rPr>
      </w:pPr>
      <w:r>
        <w:rPr>
          <w:rFonts w:ascii="Times New Roman" w:hAnsi="Times New Roman" w:cs="Times New Roman"/>
          <w:sz w:val="24"/>
          <w:szCs w:val="24"/>
        </w:rPr>
        <w:t>Actualmente el museo se encuentra en merced 50, edificio del Colegio de Químicos Farmacéuticos y Bioquímicos, su traslado a su actual ubicación se remonta a 19997, pero fue traspasado en comodato al Colegio en 1987, bajo el mandato del decano Carlos Mercado.</w:t>
      </w:r>
    </w:p>
    <w:p w14:paraId="37F71397" w14:textId="16B0AB37" w:rsidR="008C0DCB" w:rsidRDefault="006E4C98" w:rsidP="008C0D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primera donación la constituyen los albarelos, objetos icónicos de las boticas de la época. </w:t>
      </w:r>
    </w:p>
    <w:p w14:paraId="12A5170E" w14:textId="70A52B9C" w:rsidR="006E4C98" w:rsidRDefault="006E4C98" w:rsidP="008C0D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Otros antecedentes históricos de la conformación se encuentran en el Congreso de Químicos Farmacéuticos, realizado en Londres en 1948, en donde se acuerda que cada país generara y desarrollara </w:t>
      </w:r>
      <w:r w:rsidR="00D96F84">
        <w:rPr>
          <w:rFonts w:ascii="Times New Roman" w:hAnsi="Times New Roman" w:cs="Times New Roman"/>
          <w:sz w:val="24"/>
          <w:szCs w:val="24"/>
        </w:rPr>
        <w:t xml:space="preserve">el estudio de la química y la farmacia, siendo como resultado de este trabajo, la creación de un museo. </w:t>
      </w:r>
    </w:p>
    <w:p w14:paraId="0B86F7DC" w14:textId="635141C2" w:rsidR="00D96F84" w:rsidRDefault="00D96F84" w:rsidP="008C0D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colecciones se agrupan en 3 grandes conjuntos, producto de un trabajo conjunto e interdisciplinario. </w:t>
      </w:r>
      <w:r w:rsidR="00EE63A3">
        <w:rPr>
          <w:rFonts w:ascii="Times New Roman" w:hAnsi="Times New Roman" w:cs="Times New Roman"/>
          <w:sz w:val="24"/>
          <w:szCs w:val="24"/>
        </w:rPr>
        <w:t xml:space="preserve">Dentro de ellas se encuentra la Colección Ciencias Químicas y </w:t>
      </w:r>
      <w:r w:rsidR="008957EC">
        <w:rPr>
          <w:rFonts w:ascii="Times New Roman" w:hAnsi="Times New Roman" w:cs="Times New Roman"/>
          <w:sz w:val="24"/>
          <w:szCs w:val="24"/>
        </w:rPr>
        <w:t>Farmacéuticas</w:t>
      </w:r>
      <w:r w:rsidR="00EE63A3">
        <w:rPr>
          <w:rFonts w:ascii="Times New Roman" w:hAnsi="Times New Roman" w:cs="Times New Roman"/>
          <w:sz w:val="24"/>
          <w:szCs w:val="24"/>
        </w:rPr>
        <w:t>, que reúne los objetos del museo, la Biblioteca Patrimonial y el Archivo Histórico profesora Irma Pennacchiotti Monti</w:t>
      </w:r>
      <w:r w:rsidR="008957EC">
        <w:rPr>
          <w:rFonts w:ascii="Times New Roman" w:hAnsi="Times New Roman" w:cs="Times New Roman"/>
          <w:sz w:val="24"/>
          <w:szCs w:val="24"/>
        </w:rPr>
        <w:t>.</w:t>
      </w:r>
    </w:p>
    <w:p w14:paraId="3F54A4E4" w14:textId="7B107AED" w:rsidR="008957EC" w:rsidRDefault="008957EC" w:rsidP="008C0D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Biblioteca la hemos denominado “patrimonial” ya que es la primera biblioteca con la que contó la Facultad, y cuenta con 4 </w:t>
      </w:r>
      <w:proofErr w:type="spellStart"/>
      <w:r>
        <w:rPr>
          <w:rFonts w:ascii="Times New Roman" w:hAnsi="Times New Roman" w:cs="Times New Roman"/>
          <w:sz w:val="24"/>
          <w:szCs w:val="24"/>
        </w:rPr>
        <w:t>subcolecciones</w:t>
      </w:r>
      <w:proofErr w:type="spellEnd"/>
      <w:r>
        <w:rPr>
          <w:rFonts w:ascii="Times New Roman" w:hAnsi="Times New Roman" w:cs="Times New Roman"/>
          <w:sz w:val="24"/>
          <w:szCs w:val="24"/>
        </w:rPr>
        <w:t>:</w:t>
      </w:r>
    </w:p>
    <w:p w14:paraId="4248DF24" w14:textId="606ADDBF" w:rsidR="008957EC" w:rsidRDefault="008957EC" w:rsidP="008957EC">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Publicaciones</w:t>
      </w:r>
    </w:p>
    <w:p w14:paraId="246A084C" w14:textId="2F7A7DE0" w:rsidR="008957EC" w:rsidRDefault="008957EC" w:rsidP="008957EC">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Historia de la química y la farmacia </w:t>
      </w:r>
    </w:p>
    <w:p w14:paraId="093BD006" w14:textId="2FE6BE75" w:rsidR="008957EC" w:rsidRDefault="008957EC" w:rsidP="008957EC">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Historia de la farmacia </w:t>
      </w:r>
    </w:p>
    <w:p w14:paraId="42256592" w14:textId="399F4809" w:rsidR="008957EC" w:rsidRDefault="008957EC" w:rsidP="008957EC">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Primeras tesis </w:t>
      </w:r>
    </w:p>
    <w:p w14:paraId="2E9B5CAF" w14:textId="250C77B4" w:rsidR="008957EC" w:rsidRDefault="008957EC" w:rsidP="008957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Biblioteca Patrimonial se encontraba cerrada e inhabilitada hasta la llegada de este proyecto (2017). Se han realizado estudios de preservación donde se analizaron elementos de contaminación. Por ejemplo, la presencia de hongos, producto de la alta humedad existente en el espacio, para ello se monitorea la humedad relativa y la temperatura que afectan a los libros antiguos. </w:t>
      </w:r>
    </w:p>
    <w:p w14:paraId="6A58F26E" w14:textId="3430A60F" w:rsidR="008957EC" w:rsidRDefault="008957EC" w:rsidP="008957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llegar a la ubicación de la biblioteca, debemos pasar por una escalera que se encuentra debajo del ascensor del edificio </w:t>
      </w:r>
      <w:r w:rsidR="00CE6343">
        <w:rPr>
          <w:rFonts w:ascii="Times New Roman" w:hAnsi="Times New Roman" w:cs="Times New Roman"/>
          <w:sz w:val="24"/>
          <w:szCs w:val="24"/>
        </w:rPr>
        <w:t>(la</w:t>
      </w:r>
      <w:r>
        <w:rPr>
          <w:rFonts w:ascii="Times New Roman" w:hAnsi="Times New Roman" w:cs="Times New Roman"/>
          <w:sz w:val="24"/>
          <w:szCs w:val="24"/>
        </w:rPr>
        <w:t xml:space="preserve"> Casa Nieto). Existen antecedentes que indican que es el ascensor más antiguo de Santiago, actualmente inoperativo. </w:t>
      </w:r>
    </w:p>
    <w:p w14:paraId="68E17FB1" w14:textId="21855934" w:rsidR="00CE6343" w:rsidRDefault="008957EC" w:rsidP="008957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abordar la Biblioteca se ha realizado un proceso de inventario en los </w:t>
      </w:r>
      <w:r w:rsidR="00CE6343">
        <w:rPr>
          <w:rFonts w:ascii="Times New Roman" w:hAnsi="Times New Roman" w:cs="Times New Roman"/>
          <w:sz w:val="24"/>
          <w:szCs w:val="24"/>
        </w:rPr>
        <w:t>últimos</w:t>
      </w:r>
      <w:r>
        <w:rPr>
          <w:rFonts w:ascii="Times New Roman" w:hAnsi="Times New Roman" w:cs="Times New Roman"/>
          <w:sz w:val="24"/>
          <w:szCs w:val="24"/>
        </w:rPr>
        <w:t xml:space="preserve"> años, que permitió contabilizar más de 2.000 volúmenes (exactamente 2067) y que nos permite hablar de una biblioteca que da cuenta de la formación de los químicos farmacéuticos de Chile, durante la primera mitad del siglo XX, considerando que en esos años la Universidad de Chile, era la única que impartía la carrera, y estos libros sirvieron para que muchos profesionales se formaran con ellos. Se trata de ejemplares en español, francés, alemán, inglés, italiano, portugués, latín, que tratan materias de química orgánica, botánica, farmacología, </w:t>
      </w:r>
      <w:r w:rsidR="00CE6343">
        <w:rPr>
          <w:rFonts w:ascii="Times New Roman" w:hAnsi="Times New Roman" w:cs="Times New Roman"/>
          <w:sz w:val="24"/>
          <w:szCs w:val="24"/>
        </w:rPr>
        <w:t>biología y bromatología, catálogos de instrumental, colecciones de revistas (sección hemeroteca), como la revista de la Farmacia Chilena, de publicación periódica, y que da cuenta de los avances de la época, noticias de interés, noticias de interés, seminarios, congresos, mezclado con publicidad de farmacias y medicamentos. Se suman libros de botánica y química de mediados de 1900.</w:t>
      </w:r>
    </w:p>
    <w:p w14:paraId="13BBD864" w14:textId="6990FC00" w:rsidR="00CE6343" w:rsidRDefault="00CE6343" w:rsidP="008957EC">
      <w:pPr>
        <w:spacing w:line="360" w:lineRule="auto"/>
        <w:jc w:val="both"/>
        <w:rPr>
          <w:rFonts w:ascii="Times New Roman" w:hAnsi="Times New Roman" w:cs="Times New Roman"/>
          <w:sz w:val="24"/>
          <w:szCs w:val="24"/>
        </w:rPr>
      </w:pPr>
      <w:r>
        <w:rPr>
          <w:rFonts w:ascii="Times New Roman" w:hAnsi="Times New Roman" w:cs="Times New Roman"/>
          <w:sz w:val="24"/>
          <w:szCs w:val="24"/>
        </w:rPr>
        <w:t>Dentro de los procesos de preservación, fueron claves los diagnósticos de conservación y las acciones de conservación directa en los ejemplares que presentaban presencia de polvo, y otras afecciones. El estado actual es ordenado y limpio, y con evidencias (a través de un marcaje provisorio con cinta espiga) de lo que hay que restaurar).</w:t>
      </w:r>
    </w:p>
    <w:p w14:paraId="7A207B6A" w14:textId="4C6BA1CA" w:rsidR="00CE6343" w:rsidRDefault="00CE6343" w:rsidP="008957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 publicación de 1560 en alemán, el </w:t>
      </w:r>
      <w:proofErr w:type="spellStart"/>
      <w:r w:rsidRPr="00CE6343">
        <w:rPr>
          <w:rFonts w:ascii="Times New Roman" w:hAnsi="Times New Roman" w:cs="Times New Roman"/>
          <w:sz w:val="24"/>
          <w:szCs w:val="24"/>
        </w:rPr>
        <w:t>Kreurterbuch</w:t>
      </w:r>
      <w:proofErr w:type="spellEnd"/>
      <w:r>
        <w:rPr>
          <w:rFonts w:ascii="Times New Roman" w:hAnsi="Times New Roman" w:cs="Times New Roman"/>
          <w:sz w:val="24"/>
          <w:szCs w:val="24"/>
        </w:rPr>
        <w:t xml:space="preserve">, de Adam </w:t>
      </w:r>
      <w:proofErr w:type="spellStart"/>
      <w:r>
        <w:rPr>
          <w:rFonts w:ascii="Times New Roman" w:hAnsi="Times New Roman" w:cs="Times New Roman"/>
          <w:sz w:val="24"/>
          <w:szCs w:val="24"/>
        </w:rPr>
        <w:t>Lonicer</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Adamus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Lonicerus</w:t>
      </w:r>
      <w:proofErr w:type="spellEnd"/>
      <w:r>
        <w:rPr>
          <w:rFonts w:ascii="Times New Roman" w:hAnsi="Times New Roman" w:cs="Times New Roman"/>
          <w:sz w:val="24"/>
          <w:szCs w:val="24"/>
        </w:rPr>
        <w:t xml:space="preserve">, es un herbario medieval, que presenta una combinación de temas que es única: aborda naturaleza, salud y magia, lo que refleja un momento anterior a la ciencia. </w:t>
      </w:r>
    </w:p>
    <w:p w14:paraId="582AA9DC" w14:textId="63795D04" w:rsidR="00CE6343" w:rsidRDefault="00CE6343" w:rsidP="008957E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w:t>
      </w:r>
      <w:r w:rsidRPr="00CE6343">
        <w:rPr>
          <w:rFonts w:ascii="Times New Roman" w:hAnsi="Times New Roman" w:cs="Times New Roman"/>
          <w:sz w:val="24"/>
          <w:szCs w:val="24"/>
        </w:rPr>
        <w:t>Kreurterbuch</w:t>
      </w:r>
      <w:r>
        <w:rPr>
          <w:rFonts w:ascii="Times New Roman" w:hAnsi="Times New Roman" w:cs="Times New Roman"/>
          <w:sz w:val="24"/>
          <w:szCs w:val="24"/>
        </w:rPr>
        <w:t xml:space="preserve">, que se traduce como “libro de plantas” es un antiguo libro de farmacognosia, ciencia que aborda el principio de las drogas y principios activos de origen vegetal. Debido a los cambios que ha experimentado el idioma alemán, resulta de difícil lectura, incluso para quienes cuentan con esa lengua nativa. </w:t>
      </w:r>
    </w:p>
    <w:p w14:paraId="41F25552" w14:textId="6A6E9EB7" w:rsidR="00CE6343" w:rsidRDefault="00CE6343" w:rsidP="008957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Existen dos temáticas de conocimiento actual: </w:t>
      </w:r>
    </w:p>
    <w:p w14:paraId="30CBC93E" w14:textId="6C341D9A" w:rsidR="00CE6343" w:rsidRPr="00CE6343" w:rsidRDefault="00CE6343" w:rsidP="00CE6343">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Botánica</w:t>
      </w:r>
      <w:r w:rsidR="007C764A">
        <w:rPr>
          <w:rFonts w:ascii="Times New Roman" w:hAnsi="Times New Roman" w:cs="Times New Roman"/>
          <w:sz w:val="24"/>
          <w:szCs w:val="24"/>
        </w:rPr>
        <w:t>: estudio de la morfología vegetal o estudio de las estructuras externas de las plantas,</w:t>
      </w:r>
    </w:p>
    <w:p w14:paraId="0F231CAC" w14:textId="7FC60ED6" w:rsidR="00CE6343" w:rsidRDefault="00CE6343" w:rsidP="00CE6343">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Farmacodinamia: o acción de los medicamentos en el organismo vivo (ejemplo en el libro, los efectos del consumo de la higuera en las personas)</w:t>
      </w:r>
    </w:p>
    <w:p w14:paraId="74356BFC" w14:textId="6BA6A584" w:rsidR="00CE6343" w:rsidRDefault="007C764A" w:rsidP="00CE63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libro también abarca zoología y criptozoología, describiendo animales reales y mitológicos (como dragones). También cuenta con instrumental de laboratorio (como ejemplo los utilizados en destilación). </w:t>
      </w:r>
    </w:p>
    <w:p w14:paraId="73289ACF" w14:textId="3450D958" w:rsidR="007C764A" w:rsidRDefault="007C764A" w:rsidP="00CE63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ejemplar cerrado es de pergamino en su cubierta. Al abrirlo, podemos apreciar las inscripciones que nos permiten, a través de las dedicatorias, saber de donde procede. “Carlos </w:t>
      </w:r>
      <w:proofErr w:type="spellStart"/>
      <w:r>
        <w:rPr>
          <w:rFonts w:ascii="Times New Roman" w:hAnsi="Times New Roman" w:cs="Times New Roman"/>
          <w:sz w:val="24"/>
          <w:szCs w:val="24"/>
        </w:rPr>
        <w:t>Nettl</w:t>
      </w:r>
      <w:proofErr w:type="spellEnd"/>
      <w:r>
        <w:rPr>
          <w:rFonts w:ascii="Times New Roman" w:hAnsi="Times New Roman" w:cs="Times New Roman"/>
          <w:sz w:val="24"/>
          <w:szCs w:val="24"/>
        </w:rPr>
        <w:t xml:space="preserve"> y señora Emmy Obsequio al museo de farmacia de la escuela de química y farmacia de la Universidad de Chile. Santiago, 2 de octubre de 1968”, aparece escrito en una de sus hojas de guarda. También cuenta con una descripción bibliográfica pegada en una de sus esquinas. Al recorrer el libro podemos apreciar diferentes intervenciones, tanto por el uso, como por las diferentes reparaciones que ha recibido el libro en su historia: manchas en las esquinas por el uso, creación de injertos, subrayados con bolígrafo, el timbre del museo en varias de sus hojas que le dan un sentido de pertenencia, según los criterios con los que se “marcaba” el ejemplar en otras épocas. Durante este ultimo periodo, y considerando los criterios actuales, se decidió realizar un proceso de digitalización en colaboración con el Sistema de Bibliotecas de la Universidad, lo que permitió </w:t>
      </w:r>
      <w:r w:rsidR="002A62C7">
        <w:rPr>
          <w:rFonts w:ascii="Times New Roman" w:hAnsi="Times New Roman" w:cs="Times New Roman"/>
          <w:sz w:val="24"/>
          <w:szCs w:val="24"/>
        </w:rPr>
        <w:t xml:space="preserve">contar actualmente con su versión digital para consulta en línea. También se hizo el proceso de catalogación, lo que implicó, en sus </w:t>
      </w:r>
      <w:r w:rsidR="004231BE">
        <w:rPr>
          <w:rFonts w:ascii="Times New Roman" w:hAnsi="Times New Roman" w:cs="Times New Roman"/>
          <w:sz w:val="24"/>
          <w:szCs w:val="24"/>
        </w:rPr>
        <w:t>procesos técnicos</w:t>
      </w:r>
      <w:r w:rsidR="002A62C7">
        <w:rPr>
          <w:rFonts w:ascii="Times New Roman" w:hAnsi="Times New Roman" w:cs="Times New Roman"/>
          <w:sz w:val="24"/>
          <w:szCs w:val="24"/>
        </w:rPr>
        <w:t xml:space="preserve">, pensar en un marbete que recogiera criterios de mínima intervención para no adicionar, ningún elemento que dañara la materialidad del ejemplar, por lo que se pensó en un tipo de marbete que recogiera el formato de sobrecubierta, pero en forma de banda, realizada en cartulina libre de acido de color crudo, y donde se pueden adicionar tanto el ítem, como el número de clasificación. </w:t>
      </w:r>
      <w:r w:rsidR="004231BE">
        <w:rPr>
          <w:rFonts w:ascii="Times New Roman" w:hAnsi="Times New Roman" w:cs="Times New Roman"/>
          <w:sz w:val="24"/>
          <w:szCs w:val="24"/>
        </w:rPr>
        <w:t>(la</w:t>
      </w:r>
      <w:r w:rsidR="002A62C7">
        <w:rPr>
          <w:rFonts w:ascii="Times New Roman" w:hAnsi="Times New Roman" w:cs="Times New Roman"/>
          <w:sz w:val="24"/>
          <w:szCs w:val="24"/>
        </w:rPr>
        <w:t xml:space="preserve"> investigación inicial sobre los tipos de marbete fue realizada en el año </w:t>
      </w:r>
      <w:r w:rsidR="002A62C7">
        <w:rPr>
          <w:rFonts w:ascii="Times New Roman" w:hAnsi="Times New Roman" w:cs="Times New Roman"/>
          <w:sz w:val="24"/>
          <w:szCs w:val="24"/>
        </w:rPr>
        <w:lastRenderedPageBreak/>
        <w:t>2013 en la Revista Conserva, del Centro Nacional de Conservación y Restauración</w:t>
      </w:r>
      <w:r w:rsidR="004231BE">
        <w:rPr>
          <w:rFonts w:ascii="Times New Roman" w:hAnsi="Times New Roman" w:cs="Times New Roman"/>
          <w:sz w:val="24"/>
          <w:szCs w:val="24"/>
        </w:rPr>
        <w:t xml:space="preserve">. Actualmente se encuentra en preparación una nueva versión de esa investigación). </w:t>
      </w:r>
    </w:p>
    <w:p w14:paraId="01EFCD56" w14:textId="10E594E3" w:rsidR="008C0DCB" w:rsidRPr="008C0DCB" w:rsidRDefault="004231BE" w:rsidP="004231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Cabe destacar que producto del ordenamiento realizado en esta biblioteca, se encontró material que dio inicio a la formación del fondo del archivo, entre los que se encuentran apuntes, documentos oficiales, correspondencia, además de una incipiente Colección Fotográfica. </w:t>
      </w:r>
    </w:p>
    <w:p w14:paraId="13DC26E4" w14:textId="114D2BD9" w:rsidR="008C0DCB" w:rsidRDefault="008C0DCB" w:rsidP="0032233E">
      <w:pPr>
        <w:spacing w:line="360" w:lineRule="auto"/>
        <w:rPr>
          <w:rFonts w:ascii="Times New Roman" w:hAnsi="Times New Roman" w:cs="Times New Roman"/>
          <w:sz w:val="24"/>
          <w:szCs w:val="24"/>
          <w:lang w:val="es-MX"/>
        </w:rPr>
      </w:pPr>
      <w:r>
        <w:rPr>
          <w:rFonts w:ascii="Times New Roman" w:hAnsi="Times New Roman" w:cs="Times New Roman"/>
          <w:sz w:val="24"/>
          <w:szCs w:val="24"/>
          <w:lang w:val="es-MX"/>
        </w:rPr>
        <w:t>Las conclusiones de esta presentación son:</w:t>
      </w:r>
    </w:p>
    <w:p w14:paraId="17AE09F5" w14:textId="77777777" w:rsidR="008C0DCB" w:rsidRPr="008C0DCB" w:rsidRDefault="008C0DCB" w:rsidP="008C0DCB">
      <w:pPr>
        <w:numPr>
          <w:ilvl w:val="0"/>
          <w:numId w:val="2"/>
        </w:numPr>
        <w:spacing w:line="360" w:lineRule="auto"/>
        <w:rPr>
          <w:rFonts w:ascii="Times New Roman" w:hAnsi="Times New Roman" w:cs="Times New Roman"/>
          <w:sz w:val="24"/>
          <w:szCs w:val="24"/>
        </w:rPr>
      </w:pPr>
      <w:r w:rsidRPr="008C0DCB">
        <w:rPr>
          <w:rFonts w:ascii="Times New Roman" w:hAnsi="Times New Roman" w:cs="Times New Roman"/>
          <w:sz w:val="24"/>
          <w:szCs w:val="24"/>
        </w:rPr>
        <w:t>Las colecciones patrimoniales tienen la obligación de acercarse a la ciudadanía, por lo que deben hacerse los esfuerzos para allanar las formas y metodologías implementadas en las puestas en valor.</w:t>
      </w:r>
    </w:p>
    <w:p w14:paraId="0AC0C390" w14:textId="77777777" w:rsidR="008C0DCB" w:rsidRPr="008C0DCB" w:rsidRDefault="008C0DCB" w:rsidP="008C0DCB">
      <w:pPr>
        <w:numPr>
          <w:ilvl w:val="0"/>
          <w:numId w:val="2"/>
        </w:numPr>
        <w:spacing w:line="360" w:lineRule="auto"/>
        <w:rPr>
          <w:rFonts w:ascii="Times New Roman" w:hAnsi="Times New Roman" w:cs="Times New Roman"/>
          <w:sz w:val="24"/>
          <w:szCs w:val="24"/>
        </w:rPr>
      </w:pPr>
      <w:r w:rsidRPr="008C0DCB">
        <w:rPr>
          <w:rFonts w:ascii="Times New Roman" w:hAnsi="Times New Roman" w:cs="Times New Roman"/>
          <w:sz w:val="24"/>
          <w:szCs w:val="24"/>
        </w:rPr>
        <w:t>Es importante considerar las propuestas de intervención, tanto de conservación como restauración, como nuevas marcas, que repercutirán en la lectura del conjunto a futuro.</w:t>
      </w:r>
    </w:p>
    <w:p w14:paraId="201B30B3" w14:textId="77777777" w:rsidR="008C0DCB" w:rsidRPr="008C0DCB" w:rsidRDefault="008C0DCB" w:rsidP="008C0DCB">
      <w:pPr>
        <w:numPr>
          <w:ilvl w:val="0"/>
          <w:numId w:val="2"/>
        </w:numPr>
        <w:spacing w:line="360" w:lineRule="auto"/>
        <w:rPr>
          <w:rFonts w:ascii="Times New Roman" w:hAnsi="Times New Roman" w:cs="Times New Roman"/>
          <w:sz w:val="24"/>
          <w:szCs w:val="24"/>
        </w:rPr>
      </w:pPr>
      <w:r w:rsidRPr="008C0DCB">
        <w:rPr>
          <w:rFonts w:ascii="Times New Roman" w:hAnsi="Times New Roman" w:cs="Times New Roman"/>
          <w:sz w:val="24"/>
          <w:szCs w:val="24"/>
        </w:rPr>
        <w:t xml:space="preserve">Debemos hacer una diferenciación, desde el punto de vista de la investigación de especialistas, entre los tipos de “marcas de procedencia", en función de los usos de los libros antiguos, así como las de los descuidos y los abandonos, cuando se considera un rescate de conservación. </w:t>
      </w:r>
    </w:p>
    <w:p w14:paraId="4E27FE25" w14:textId="77777777" w:rsidR="008C0DCB" w:rsidRPr="008C0DCB" w:rsidRDefault="008C0DCB" w:rsidP="008C0DCB">
      <w:pPr>
        <w:spacing w:line="360" w:lineRule="auto"/>
        <w:rPr>
          <w:rFonts w:ascii="Times New Roman" w:hAnsi="Times New Roman" w:cs="Times New Roman"/>
          <w:sz w:val="24"/>
          <w:szCs w:val="24"/>
        </w:rPr>
      </w:pPr>
    </w:p>
    <w:p w14:paraId="5897D116" w14:textId="77777777" w:rsidR="008C0DCB" w:rsidRPr="0032233E" w:rsidRDefault="008C0DCB" w:rsidP="0032233E">
      <w:pPr>
        <w:spacing w:line="360" w:lineRule="auto"/>
        <w:rPr>
          <w:rFonts w:ascii="Times New Roman" w:hAnsi="Times New Roman" w:cs="Times New Roman"/>
          <w:sz w:val="24"/>
          <w:szCs w:val="24"/>
          <w:lang w:val="es-MX"/>
        </w:rPr>
      </w:pPr>
    </w:p>
    <w:sectPr w:rsidR="008C0DCB" w:rsidRPr="0032233E" w:rsidSect="0032233E">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645B7"/>
    <w:multiLevelType w:val="hybridMultilevel"/>
    <w:tmpl w:val="78CCB37A"/>
    <w:lvl w:ilvl="0" w:tplc="F0DE3D7A">
      <w:start w:val="1"/>
      <w:numFmt w:val="bullet"/>
      <w:lvlText w:val="•"/>
      <w:lvlJc w:val="left"/>
      <w:pPr>
        <w:tabs>
          <w:tab w:val="num" w:pos="720"/>
        </w:tabs>
        <w:ind w:left="720" w:hanging="360"/>
      </w:pPr>
      <w:rPr>
        <w:rFonts w:ascii="Arial" w:hAnsi="Arial" w:hint="default"/>
      </w:rPr>
    </w:lvl>
    <w:lvl w:ilvl="1" w:tplc="035E9CF0" w:tentative="1">
      <w:start w:val="1"/>
      <w:numFmt w:val="bullet"/>
      <w:lvlText w:val="•"/>
      <w:lvlJc w:val="left"/>
      <w:pPr>
        <w:tabs>
          <w:tab w:val="num" w:pos="1440"/>
        </w:tabs>
        <w:ind w:left="1440" w:hanging="360"/>
      </w:pPr>
      <w:rPr>
        <w:rFonts w:ascii="Arial" w:hAnsi="Arial" w:hint="default"/>
      </w:rPr>
    </w:lvl>
    <w:lvl w:ilvl="2" w:tplc="2BDAB0B6" w:tentative="1">
      <w:start w:val="1"/>
      <w:numFmt w:val="bullet"/>
      <w:lvlText w:val="•"/>
      <w:lvlJc w:val="left"/>
      <w:pPr>
        <w:tabs>
          <w:tab w:val="num" w:pos="2160"/>
        </w:tabs>
        <w:ind w:left="2160" w:hanging="360"/>
      </w:pPr>
      <w:rPr>
        <w:rFonts w:ascii="Arial" w:hAnsi="Arial" w:hint="default"/>
      </w:rPr>
    </w:lvl>
    <w:lvl w:ilvl="3" w:tplc="BC64BD0C" w:tentative="1">
      <w:start w:val="1"/>
      <w:numFmt w:val="bullet"/>
      <w:lvlText w:val="•"/>
      <w:lvlJc w:val="left"/>
      <w:pPr>
        <w:tabs>
          <w:tab w:val="num" w:pos="2880"/>
        </w:tabs>
        <w:ind w:left="2880" w:hanging="360"/>
      </w:pPr>
      <w:rPr>
        <w:rFonts w:ascii="Arial" w:hAnsi="Arial" w:hint="default"/>
      </w:rPr>
    </w:lvl>
    <w:lvl w:ilvl="4" w:tplc="2B361D8E" w:tentative="1">
      <w:start w:val="1"/>
      <w:numFmt w:val="bullet"/>
      <w:lvlText w:val="•"/>
      <w:lvlJc w:val="left"/>
      <w:pPr>
        <w:tabs>
          <w:tab w:val="num" w:pos="3600"/>
        </w:tabs>
        <w:ind w:left="3600" w:hanging="360"/>
      </w:pPr>
      <w:rPr>
        <w:rFonts w:ascii="Arial" w:hAnsi="Arial" w:hint="default"/>
      </w:rPr>
    </w:lvl>
    <w:lvl w:ilvl="5" w:tplc="2670DC46" w:tentative="1">
      <w:start w:val="1"/>
      <w:numFmt w:val="bullet"/>
      <w:lvlText w:val="•"/>
      <w:lvlJc w:val="left"/>
      <w:pPr>
        <w:tabs>
          <w:tab w:val="num" w:pos="4320"/>
        </w:tabs>
        <w:ind w:left="4320" w:hanging="360"/>
      </w:pPr>
      <w:rPr>
        <w:rFonts w:ascii="Arial" w:hAnsi="Arial" w:hint="default"/>
      </w:rPr>
    </w:lvl>
    <w:lvl w:ilvl="6" w:tplc="E7FC492A" w:tentative="1">
      <w:start w:val="1"/>
      <w:numFmt w:val="bullet"/>
      <w:lvlText w:val="•"/>
      <w:lvlJc w:val="left"/>
      <w:pPr>
        <w:tabs>
          <w:tab w:val="num" w:pos="5040"/>
        </w:tabs>
        <w:ind w:left="5040" w:hanging="360"/>
      </w:pPr>
      <w:rPr>
        <w:rFonts w:ascii="Arial" w:hAnsi="Arial" w:hint="default"/>
      </w:rPr>
    </w:lvl>
    <w:lvl w:ilvl="7" w:tplc="20EA02BA" w:tentative="1">
      <w:start w:val="1"/>
      <w:numFmt w:val="bullet"/>
      <w:lvlText w:val="•"/>
      <w:lvlJc w:val="left"/>
      <w:pPr>
        <w:tabs>
          <w:tab w:val="num" w:pos="5760"/>
        </w:tabs>
        <w:ind w:left="5760" w:hanging="360"/>
      </w:pPr>
      <w:rPr>
        <w:rFonts w:ascii="Arial" w:hAnsi="Arial" w:hint="default"/>
      </w:rPr>
    </w:lvl>
    <w:lvl w:ilvl="8" w:tplc="0F9C4F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1627BE"/>
    <w:multiLevelType w:val="hybridMultilevel"/>
    <w:tmpl w:val="C5A01484"/>
    <w:lvl w:ilvl="0" w:tplc="7A4AD96A">
      <w:start w:val="1"/>
      <w:numFmt w:val="bullet"/>
      <w:lvlText w:val="•"/>
      <w:lvlJc w:val="left"/>
      <w:pPr>
        <w:tabs>
          <w:tab w:val="num" w:pos="720"/>
        </w:tabs>
        <w:ind w:left="720" w:hanging="360"/>
      </w:pPr>
      <w:rPr>
        <w:rFonts w:ascii="Arial" w:hAnsi="Arial" w:hint="default"/>
      </w:rPr>
    </w:lvl>
    <w:lvl w:ilvl="1" w:tplc="5D8C16CA" w:tentative="1">
      <w:start w:val="1"/>
      <w:numFmt w:val="bullet"/>
      <w:lvlText w:val="•"/>
      <w:lvlJc w:val="left"/>
      <w:pPr>
        <w:tabs>
          <w:tab w:val="num" w:pos="1440"/>
        </w:tabs>
        <w:ind w:left="1440" w:hanging="360"/>
      </w:pPr>
      <w:rPr>
        <w:rFonts w:ascii="Arial" w:hAnsi="Arial" w:hint="default"/>
      </w:rPr>
    </w:lvl>
    <w:lvl w:ilvl="2" w:tplc="A210D7E4" w:tentative="1">
      <w:start w:val="1"/>
      <w:numFmt w:val="bullet"/>
      <w:lvlText w:val="•"/>
      <w:lvlJc w:val="left"/>
      <w:pPr>
        <w:tabs>
          <w:tab w:val="num" w:pos="2160"/>
        </w:tabs>
        <w:ind w:left="2160" w:hanging="360"/>
      </w:pPr>
      <w:rPr>
        <w:rFonts w:ascii="Arial" w:hAnsi="Arial" w:hint="default"/>
      </w:rPr>
    </w:lvl>
    <w:lvl w:ilvl="3" w:tplc="FF6C6434" w:tentative="1">
      <w:start w:val="1"/>
      <w:numFmt w:val="bullet"/>
      <w:lvlText w:val="•"/>
      <w:lvlJc w:val="left"/>
      <w:pPr>
        <w:tabs>
          <w:tab w:val="num" w:pos="2880"/>
        </w:tabs>
        <w:ind w:left="2880" w:hanging="360"/>
      </w:pPr>
      <w:rPr>
        <w:rFonts w:ascii="Arial" w:hAnsi="Arial" w:hint="default"/>
      </w:rPr>
    </w:lvl>
    <w:lvl w:ilvl="4" w:tplc="B0961952" w:tentative="1">
      <w:start w:val="1"/>
      <w:numFmt w:val="bullet"/>
      <w:lvlText w:val="•"/>
      <w:lvlJc w:val="left"/>
      <w:pPr>
        <w:tabs>
          <w:tab w:val="num" w:pos="3600"/>
        </w:tabs>
        <w:ind w:left="3600" w:hanging="360"/>
      </w:pPr>
      <w:rPr>
        <w:rFonts w:ascii="Arial" w:hAnsi="Arial" w:hint="default"/>
      </w:rPr>
    </w:lvl>
    <w:lvl w:ilvl="5" w:tplc="D466F67E" w:tentative="1">
      <w:start w:val="1"/>
      <w:numFmt w:val="bullet"/>
      <w:lvlText w:val="•"/>
      <w:lvlJc w:val="left"/>
      <w:pPr>
        <w:tabs>
          <w:tab w:val="num" w:pos="4320"/>
        </w:tabs>
        <w:ind w:left="4320" w:hanging="360"/>
      </w:pPr>
      <w:rPr>
        <w:rFonts w:ascii="Arial" w:hAnsi="Arial" w:hint="default"/>
      </w:rPr>
    </w:lvl>
    <w:lvl w:ilvl="6" w:tplc="F4A05BD4" w:tentative="1">
      <w:start w:val="1"/>
      <w:numFmt w:val="bullet"/>
      <w:lvlText w:val="•"/>
      <w:lvlJc w:val="left"/>
      <w:pPr>
        <w:tabs>
          <w:tab w:val="num" w:pos="5040"/>
        </w:tabs>
        <w:ind w:left="5040" w:hanging="360"/>
      </w:pPr>
      <w:rPr>
        <w:rFonts w:ascii="Arial" w:hAnsi="Arial" w:hint="default"/>
      </w:rPr>
    </w:lvl>
    <w:lvl w:ilvl="7" w:tplc="57F4C282" w:tentative="1">
      <w:start w:val="1"/>
      <w:numFmt w:val="bullet"/>
      <w:lvlText w:val="•"/>
      <w:lvlJc w:val="left"/>
      <w:pPr>
        <w:tabs>
          <w:tab w:val="num" w:pos="5760"/>
        </w:tabs>
        <w:ind w:left="5760" w:hanging="360"/>
      </w:pPr>
      <w:rPr>
        <w:rFonts w:ascii="Arial" w:hAnsi="Arial" w:hint="default"/>
      </w:rPr>
    </w:lvl>
    <w:lvl w:ilvl="8" w:tplc="927C0D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59354FB"/>
    <w:multiLevelType w:val="hybridMultilevel"/>
    <w:tmpl w:val="7B26DF80"/>
    <w:lvl w:ilvl="0" w:tplc="C4E2878C">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94"/>
    <w:rsid w:val="00127F94"/>
    <w:rsid w:val="002671E8"/>
    <w:rsid w:val="002A62C7"/>
    <w:rsid w:val="0032233E"/>
    <w:rsid w:val="004231BE"/>
    <w:rsid w:val="006E4C98"/>
    <w:rsid w:val="007B15F8"/>
    <w:rsid w:val="007C764A"/>
    <w:rsid w:val="008957EC"/>
    <w:rsid w:val="008C0DCB"/>
    <w:rsid w:val="00CE6343"/>
    <w:rsid w:val="00D96F84"/>
    <w:rsid w:val="00DC1B86"/>
    <w:rsid w:val="00EE63A3"/>
    <w:rsid w:val="00F4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2250"/>
  <w15:chartTrackingRefBased/>
  <w15:docId w15:val="{89758A1B-A46B-4E1B-9596-E5A565E3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2233E"/>
    <w:rPr>
      <w:color w:val="0563C1" w:themeColor="hyperlink"/>
      <w:u w:val="single"/>
    </w:rPr>
  </w:style>
  <w:style w:type="character" w:styleId="Mencinsinresolver">
    <w:name w:val="Unresolved Mention"/>
    <w:basedOn w:val="Fuentedeprrafopredeter"/>
    <w:uiPriority w:val="99"/>
    <w:semiHidden/>
    <w:unhideWhenUsed/>
    <w:rsid w:val="0032233E"/>
    <w:rPr>
      <w:color w:val="605E5C"/>
      <w:shd w:val="clear" w:color="auto" w:fill="E1DFDD"/>
    </w:rPr>
  </w:style>
  <w:style w:type="paragraph" w:styleId="Prrafodelista">
    <w:name w:val="List Paragraph"/>
    <w:basedOn w:val="Normal"/>
    <w:uiPriority w:val="34"/>
    <w:qFormat/>
    <w:rsid w:val="00895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698693">
      <w:bodyDiv w:val="1"/>
      <w:marLeft w:val="0"/>
      <w:marRight w:val="0"/>
      <w:marTop w:val="0"/>
      <w:marBottom w:val="0"/>
      <w:divBdr>
        <w:top w:val="none" w:sz="0" w:space="0" w:color="auto"/>
        <w:left w:val="none" w:sz="0" w:space="0" w:color="auto"/>
        <w:bottom w:val="none" w:sz="0" w:space="0" w:color="auto"/>
        <w:right w:val="none" w:sz="0" w:space="0" w:color="auto"/>
      </w:divBdr>
      <w:divsChild>
        <w:div w:id="1726172317">
          <w:marLeft w:val="1080"/>
          <w:marRight w:val="0"/>
          <w:marTop w:val="0"/>
          <w:marBottom w:val="0"/>
          <w:divBdr>
            <w:top w:val="none" w:sz="0" w:space="0" w:color="auto"/>
            <w:left w:val="none" w:sz="0" w:space="0" w:color="auto"/>
            <w:bottom w:val="none" w:sz="0" w:space="0" w:color="auto"/>
            <w:right w:val="none" w:sz="0" w:space="0" w:color="auto"/>
          </w:divBdr>
        </w:div>
        <w:div w:id="120274180">
          <w:marLeft w:val="1080"/>
          <w:marRight w:val="0"/>
          <w:marTop w:val="0"/>
          <w:marBottom w:val="0"/>
          <w:divBdr>
            <w:top w:val="none" w:sz="0" w:space="0" w:color="auto"/>
            <w:left w:val="none" w:sz="0" w:space="0" w:color="auto"/>
            <w:bottom w:val="none" w:sz="0" w:space="0" w:color="auto"/>
            <w:right w:val="none" w:sz="0" w:space="0" w:color="auto"/>
          </w:divBdr>
        </w:div>
        <w:div w:id="1098213808">
          <w:marLeft w:val="1080"/>
          <w:marRight w:val="0"/>
          <w:marTop w:val="0"/>
          <w:marBottom w:val="0"/>
          <w:divBdr>
            <w:top w:val="none" w:sz="0" w:space="0" w:color="auto"/>
            <w:left w:val="none" w:sz="0" w:space="0" w:color="auto"/>
            <w:bottom w:val="none" w:sz="0" w:space="0" w:color="auto"/>
            <w:right w:val="none" w:sz="0" w:space="0" w:color="auto"/>
          </w:divBdr>
        </w:div>
      </w:divsChild>
    </w:div>
    <w:div w:id="869227711">
      <w:bodyDiv w:val="1"/>
      <w:marLeft w:val="0"/>
      <w:marRight w:val="0"/>
      <w:marTop w:val="0"/>
      <w:marBottom w:val="0"/>
      <w:divBdr>
        <w:top w:val="none" w:sz="0" w:space="0" w:color="auto"/>
        <w:left w:val="none" w:sz="0" w:space="0" w:color="auto"/>
        <w:bottom w:val="none" w:sz="0" w:space="0" w:color="auto"/>
        <w:right w:val="none" w:sz="0" w:space="0" w:color="auto"/>
      </w:divBdr>
      <w:divsChild>
        <w:div w:id="1525821761">
          <w:marLeft w:val="1080"/>
          <w:marRight w:val="0"/>
          <w:marTop w:val="0"/>
          <w:marBottom w:val="0"/>
          <w:divBdr>
            <w:top w:val="none" w:sz="0" w:space="0" w:color="auto"/>
            <w:left w:val="none" w:sz="0" w:space="0" w:color="auto"/>
            <w:bottom w:val="none" w:sz="0" w:space="0" w:color="auto"/>
            <w:right w:val="none" w:sz="0" w:space="0" w:color="auto"/>
          </w:divBdr>
        </w:div>
        <w:div w:id="1756172118">
          <w:marLeft w:val="1080"/>
          <w:marRight w:val="0"/>
          <w:marTop w:val="0"/>
          <w:marBottom w:val="0"/>
          <w:divBdr>
            <w:top w:val="none" w:sz="0" w:space="0" w:color="auto"/>
            <w:left w:val="none" w:sz="0" w:space="0" w:color="auto"/>
            <w:bottom w:val="none" w:sz="0" w:space="0" w:color="auto"/>
            <w:right w:val="none" w:sz="0" w:space="0" w:color="auto"/>
          </w:divBdr>
        </w:div>
        <w:div w:id="1685551768">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8042</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solis solis</dc:creator>
  <cp:keywords/>
  <dc:description/>
  <cp:lastModifiedBy>Analia</cp:lastModifiedBy>
  <cp:revision>2</cp:revision>
  <dcterms:created xsi:type="dcterms:W3CDTF">2021-07-19T20:40:00Z</dcterms:created>
  <dcterms:modified xsi:type="dcterms:W3CDTF">2021-07-19T20:40:00Z</dcterms:modified>
</cp:coreProperties>
</file>